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9624"/>
      </w:tblGrid>
      <w:tr w:rsidR="000B5335" w:rsidRPr="000B5335" w:rsidTr="009164DE">
        <w:trPr>
          <w:tblCellSpacing w:w="0" w:type="dxa"/>
        </w:trPr>
        <w:tc>
          <w:tcPr>
            <w:tcW w:w="9781" w:type="dxa"/>
            <w:gridSpan w:val="2"/>
            <w:vAlign w:val="center"/>
            <w:hideMark/>
          </w:tcPr>
          <w:p w:rsidR="000B5335" w:rsidRPr="009164DE" w:rsidRDefault="009164DE" w:rsidP="009164DE">
            <w:pPr>
              <w:tabs>
                <w:tab w:val="left" w:pos="9004"/>
              </w:tabs>
              <w:spacing w:after="150" w:line="240" w:lineRule="auto"/>
              <w:ind w:right="13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9164DE">
              <w:rPr>
                <w:rFonts w:ascii="Times New Roman" w:eastAsia="+mj-ea" w:hAnsi="Times New Roman" w:cs="Times New Roman"/>
                <w:b/>
                <w:bCs/>
                <w:color w:val="000000" w:themeColor="text1"/>
                <w:sz w:val="36"/>
                <w:szCs w:val="36"/>
              </w:rPr>
              <w:t xml:space="preserve">Нормативно-правовые требования к организации текущего контроля и промежуточной аттестации </w:t>
            </w:r>
            <w:proofErr w:type="gramStart"/>
            <w:r w:rsidRPr="009164DE">
              <w:rPr>
                <w:rFonts w:ascii="Times New Roman" w:eastAsia="+mj-ea" w:hAnsi="Times New Roman" w:cs="Times New Roman"/>
                <w:b/>
                <w:bCs/>
                <w:color w:val="000000" w:themeColor="text1"/>
                <w:sz w:val="36"/>
                <w:szCs w:val="36"/>
              </w:rPr>
              <w:t>обучающихся</w:t>
            </w:r>
            <w:proofErr w:type="gramEnd"/>
          </w:p>
        </w:tc>
      </w:tr>
      <w:tr w:rsidR="000B5335" w:rsidRPr="000B5335" w:rsidTr="009164D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B5335" w:rsidRPr="000B5335" w:rsidRDefault="000B5335" w:rsidP="009164D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0B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71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0B5335" w:rsidRPr="009164DE" w:rsidRDefault="000B5335" w:rsidP="009164DE">
            <w:pPr>
              <w:tabs>
                <w:tab w:val="left" w:pos="9004"/>
              </w:tabs>
              <w:spacing w:after="0" w:line="240" w:lineRule="auto"/>
              <w:ind w:right="138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</w:tr>
    </w:tbl>
    <w:p w:rsidR="00156334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Главные нормативные основания деятельности школы - Федеральный закон от 29.12.2012 №273-ФЗ «Об образовании в Российской Федерации» и федеральные государственные образовательные стандарты. 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 xml:space="preserve">В этих документах содержатся требования ко всем видам деятельности школы, включая промежуточную аттестацию. </w:t>
      </w:r>
    </w:p>
    <w:p w:rsidR="00156334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Федеральный закон «устанавливает правовые, организационные и экономические основы образования в РФ», а стандарт содержит требования к </w:t>
      </w:r>
      <w:bookmarkStart w:id="0" w:name="_GoBack"/>
      <w:bookmarkEnd w:id="0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образовательным программам, определяя гарантии качества образования.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 xml:space="preserve">Каково же содержание статей, которые регламентируют вопросы промежуточной аттестации? </w:t>
      </w:r>
    </w:p>
    <w:p w:rsidR="00C55D7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статье 2 Федерального закона «Об образовании в РФ» указано, что описание форм аттестации - один из обязательных элементов об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разовательной программы школы. 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Проведение промежуточной аттестации обязательно учитывается в учебном плане школы: в сумме часов, отведенных для освоения темы, образовательного модуля или учебного курса. Проведение промежуточной аттестации входит в сумму часов учебных предметов, указанное в учебном плане. 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Таким образом, аттестация не предполагает дополнительную учебную нагрузку учащихся и должна планироваться в соответствии с распределением времени на изучен</w:t>
      </w:r>
      <w:r w:rsidR="0015633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ие предметов (курсов, модулей).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28 статье Закона «Об образовании в РФ» утверждены такие компетенции образовательной организации: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- осуществление текущего контроля успеваемости;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- проведение промежуточной аттестации 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(их формы, периодичность и порядок также определяет школа на основе внутренних локальных актов);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 xml:space="preserve">- проведение </w:t>
      </w:r>
      <w:proofErr w:type="spell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и обеспечение внутренней систем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ы оценки качества образования. 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Стоит отметить, что образовательная организация несет ответственность за невыполнение функций, отнесенных к ее компетенции, включая ответственность за ненадлежащее выполнение функ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ции промежуточной аттестации. </w:t>
      </w:r>
    </w:p>
    <w:p w:rsidR="00C55D7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Формы, периодичность и порядок промежуточной аттестации в соответствии со статьей 30 Закона «Об образовании в РФ» определяет образовательная организация. Для внедрения тех или иных форм аттестации, утверждения бланков контрольно-измерительных материалов и системы математического </w:t>
      </w:r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анализа</w:t>
      </w:r>
      <w:proofErr w:type="gram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полученных баллов не требуется согласование с учредителем или научными организациями. Управленческая команда школы самостоятельно разрабатывает Положение о промежуточной аттестации, утв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ерждаемое подписью директора. </w:t>
      </w:r>
    </w:p>
    <w:p w:rsidR="00C55D7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Учитывая важность системы промежуточной аттестации в обеспечении образовательных результатов, разработчики Закона посвятили ей отдельную главу. В ней ра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скрыты основные положения: </w:t>
      </w:r>
    </w:p>
    <w:p w:rsidR="00C55D7E" w:rsidRDefault="00C55D7E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</w:t>
      </w:r>
      <w:r w:rsidR="000B5335"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Аттестация проводится по итогам отдельной части или всего объема учебного предмета, курса, дисциплины (модуля) 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образовательной программы. </w:t>
      </w:r>
    </w:p>
    <w:p w:rsidR="00C55D7E" w:rsidRDefault="00C55D7E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</w:t>
      </w:r>
      <w:r w:rsidR="000B5335"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Аттестация не проводится на уровн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 дошкольного образования. </w:t>
      </w:r>
    </w:p>
    <w:p w:rsidR="00C55D7E" w:rsidRDefault="00C55D7E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</w:t>
      </w:r>
      <w:r w:rsidR="000B5335"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Аттестация проводится в формах, определенных учебным планом, и в порядке, установленном образовательной организацией. </w:t>
      </w:r>
    </w:p>
    <w:p w:rsidR="00C55D7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Неудовлетворительные результаты промежуточной аттестации признаются ака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демической задолженностью. 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Не допускается взимание платы с </w:t>
      </w:r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за прохожде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ние промежуточной аттестации. </w:t>
      </w:r>
    </w:p>
    <w:p w:rsidR="00156334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В статье 17 закреплено право </w:t>
      </w:r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, получающих образование в форме семейного образования и самообразования, на прохождение промежуточной аттестации в образовательной организации экстерном. В статье 33 представлено определение: «экстерны - лица, зачисленные в организацию, осуществляющую образовательную деятельность». То есть </w:t>
      </w:r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формы</w:t>
      </w:r>
      <w:proofErr w:type="gram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и порядок промежуточной аттестации экстернов также должны быть опре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делены в локальном акте школы. 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Таким образом, вопросы промежуточной аттестации раскрыты в более чем пяти статьях Федерального закона «Об образовании в РФ». Согласно тексту Закона система промежуточной аттестации - это элемент основной образовательной программы школы, за ее обеспечение несет ответственность руководитель, утверждая локальные акты и обеспечивая их исполнение в отношении каждого обучающегося. </w:t>
      </w:r>
    </w:p>
    <w:p w:rsidR="00C55D7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Какое место занимает промежуточная аттестация в ООП?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 xml:space="preserve">Рассмотрим этот вопрос на примере ООП основного общего образования. В соответствии с требованиями стандартов в структуру основной образовательной программы входят 3 обязательных раздела: целевой, </w:t>
      </w:r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сод</w:t>
      </w:r>
      <w:r w:rsidR="0015633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ержательный</w:t>
      </w:r>
      <w:proofErr w:type="gramEnd"/>
      <w:r w:rsidR="0015633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и организационный. </w:t>
      </w:r>
    </w:p>
    <w:p w:rsidR="00C55D7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Целевой раздел включает цели, задачи, описание результатов и способы определения их достижения, поэтому содержание и инструменты промежуточной аттестации раскрываются в описании «системы оц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енки планируемых результатов». 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пункте 18.1.3 стандарт</w:t>
      </w:r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 ООО у</w:t>
      </w:r>
      <w:proofErr w:type="gram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казано: «Система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… промежуточной </w:t>
      </w:r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аттестации</w:t>
      </w:r>
      <w:proofErr w:type="gram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обучающихся в рамках урочной и внеурочной деятельности и … оценки проектной деятельности обучающихся». Промежуточная организация может проводиться по всем видам образова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тельной деятельности учащихся. </w:t>
      </w:r>
    </w:p>
    <w:p w:rsidR="00C55D7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Содержательный раздел ООП содержит: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- прогр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аммы учебных предметов, курсов; 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программу развития УУД;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- программу воспитания и социализации по направлениям формирования здорового образа жизни, профилактической работы и профессиональной ориентации;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- программу коррекционной работы, адресованную учащимся с ограни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ченными возможностями здоровья. 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При этом система оценки результатов ООП должна учитывать освоение каждого структурного элемента ООП. Например, промежуточная аттестация предметных результатов может проводиться в традиционных формах, а для оценки результатов освоения программы развития УУД формируется «методика и инструментарий мониторинга успешности освоения УУД». Для оценки эффективности программы воспитания и социализации создаются «методика и инструментарий мониторинга духовно-нравственного развития, воспитания и социализации </w:t>
      </w:r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».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 xml:space="preserve">Организационный раздел включает механизмы реализации ООП, главные из которых учебный план и план внеурочной деятельности, и 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систему условий реализации ООП.</w:t>
      </w:r>
    </w:p>
    <w:p w:rsidR="00C55D7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организационном разделе также должны быть раскрыты условия, необходимые для проведения промежуточной аттестации: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- кадровые (система повышения квалификации педагогов по воп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росам оценки результатов);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информационно-методические (наличие контрольно-измерительных материалов, соответствующих выбранному УМК);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 xml:space="preserve">- материально-технические (программное обеспечение и ИКТ для проведения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ди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станционной диагностики и др.); 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психолого-педагогические (обоснование использования той или иной формы аттестации в соответствии с возрастными особенностями учащихся;</w:t>
      </w:r>
      <w:proofErr w:type="gram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внедрение альтернативных форм промежуточной а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ттестации для одаренных детей);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- финансовые (обоснование и расчет средств на использование </w:t>
      </w:r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услуг операторов внешней оценки качества образования</w:t>
      </w:r>
      <w:proofErr w:type="gram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или привлечение специалистов в области оценки результатов развития детей с ограниченными возможностями здоровья). </w:t>
      </w:r>
    </w:p>
    <w:p w:rsidR="00C55D7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Как проектировать систему промежуточной аттестации?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Для диагностики различных элементов содержания образования требуются различные формы промежуточной аттестации и соответствующие конт</w:t>
      </w:r>
      <w:r w:rsid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рольно-измерительные материалы. При этом важно учесть, что: </w:t>
      </w:r>
    </w:p>
    <w:p w:rsidR="00C55D7E" w:rsidRPr="00C55D7E" w:rsidRDefault="000B5335" w:rsidP="00C55D7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Система промежуточной аттестации должна быть прозрачной. Это значит, что школа информирует учеников и родителей о сроках, материалах и методах оценки результатов до начала изучения курса или модуля. Это нужно для того, чтобы учащиеся могли определить, какие знания и умения будут оцениваться, и обратить на них внимание в процессе обучения, а не готовиться за один день до </w:t>
      </w:r>
      <w:proofErr w:type="gramStart"/>
      <w:r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контрольной</w:t>
      </w:r>
      <w:proofErr w:type="gramEnd"/>
      <w:r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 Учитель должен уметь выбирать подходящие формы промежуточной аттестации, например</w:t>
      </w:r>
      <w:proofErr w:type="gramStart"/>
      <w:r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</w:t>
      </w:r>
      <w:proofErr w:type="gramEnd"/>
      <w:r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контрольная работа отличается от самостоятельной. В ходе контрольной работы проверяют конкретные результаты, а самостоятельная работа лишь форма подготов</w:t>
      </w:r>
      <w:r w:rsidR="00C55D7E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ки </w:t>
      </w:r>
      <w:proofErr w:type="gramStart"/>
      <w:r w:rsidR="00C55D7E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</w:t>
      </w:r>
      <w:proofErr w:type="gramEnd"/>
      <w:r w:rsidR="00C55D7E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C55D7E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прохождению</w:t>
      </w:r>
      <w:proofErr w:type="gramEnd"/>
      <w:r w:rsidR="00C55D7E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аттестации. </w:t>
      </w:r>
    </w:p>
    <w:p w:rsidR="00C55D7E" w:rsidRPr="00C55D7E" w:rsidRDefault="000B5335" w:rsidP="00C55D7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Содержание </w:t>
      </w:r>
      <w:proofErr w:type="spellStart"/>
      <w:r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КИМов</w:t>
      </w:r>
      <w:proofErr w:type="spellEnd"/>
      <w:r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должно точно отражать содержание модуля (курса), например, для оценки компетенций в области письменной речи неэффективно давать задания на поиск ошибок в тексте в форме теста, лучше предложить написать диктант. При этом текст диктанта должен включать лексический материал и предложения с особенностями пунктуации, изученными в данном учебном модуле (а не в другие периоды обучения). Это позволит аттестовать результаты изучения данного модуля. Если учитель определил, что именно будет аттестовано по итогам изучения урока, то он сможет учесть это содержание на самом уроке и предложить ученикам формы работы, которые потребуются дл</w:t>
      </w:r>
      <w:r w:rsidR="00C55D7E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я предъявления результатов. </w:t>
      </w:r>
    </w:p>
    <w:p w:rsidR="00C55D7E" w:rsidRPr="00C55D7E" w:rsidRDefault="000B5335" w:rsidP="00C55D7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Контрольно-измерительные материалы должны соответствовать содержанию </w:t>
      </w:r>
      <w:proofErr w:type="gramStart"/>
      <w:r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выбранного</w:t>
      </w:r>
      <w:proofErr w:type="gramEnd"/>
      <w:r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УМК. Если в 8-м классе используют три разных линии учебников, то провести единую директорскую контрольную будет невозможно, для этого потребуется три комплекта </w:t>
      </w:r>
      <w:proofErr w:type="spellStart"/>
      <w:r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КИМов</w:t>
      </w:r>
      <w:proofErr w:type="spellEnd"/>
      <w:r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и учет сроков изучения той или иной темы, приняты</w:t>
      </w:r>
      <w:r w:rsidR="00C55D7E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х в учебнике. </w:t>
      </w:r>
    </w:p>
    <w:p w:rsidR="00C55D7E" w:rsidRDefault="00C55D7E" w:rsidP="00C55D7E">
      <w:pPr>
        <w:spacing w:after="0" w:line="240" w:lineRule="auto"/>
        <w:ind w:left="720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C55D7E" w:rsidRDefault="00C55D7E" w:rsidP="00C55D7E">
      <w:pPr>
        <w:spacing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    </w:t>
      </w:r>
      <w:r w:rsidR="000B5335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Учет этих трех правил позволит создать систему аттестации для решения задач измерения конкретных результатов образования, повышения учебной мотивации, проектирования коррекционной работы на основе знаний о проблемах в обучении конкретного уч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еника.</w:t>
      </w:r>
    </w:p>
    <w:p w:rsidR="00790C32" w:rsidRPr="00C55D7E" w:rsidRDefault="00C55D7E" w:rsidP="00C55D7E">
      <w:pPr>
        <w:spacing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    </w:t>
      </w:r>
      <w:r w:rsidR="000B5335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Что входит в содержание промежуточной аттестации?</w:t>
      </w:r>
      <w:r w:rsidR="000B5335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Система аттестации должна отражать результаты освоения учащимися результатов образования. В свою очередь результаты образования должны быть распределены по периодам обучения, представляя содержание конкретног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 модуля или предметного курса.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r w:rsidR="000B5335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Для построения системы промежуточной аттестации, отражающей результаты ООП, нужно определить, что оценивается. Элементарная единица для оценки в школе - контролируемые элементы образования, которые должны быть отражены в результатах ООП, на основе которых форм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ируют фундаментальные понятия.  </w:t>
      </w:r>
      <w:r w:rsidR="000B5335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Минимальная структурная единица, формирующая ООП школы, - контролируемые элементы содержания образования. Их перечень содержится в приказе </w:t>
      </w:r>
      <w:proofErr w:type="spellStart"/>
      <w:r w:rsidR="000B5335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МОиН</w:t>
      </w:r>
      <w:proofErr w:type="spellEnd"/>
      <w:r w:rsidR="000B5335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РФ от 5 марта 2004 года </w:t>
      </w:r>
      <w:r w:rsidR="000B5335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Приказ действует и включает поправки и допо</w:t>
      </w:r>
      <w:r w:rsidR="00790C32" w:rsidRPr="00C55D7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лнения от 31 января 2012 года. </w:t>
      </w:r>
    </w:p>
    <w:p w:rsidR="009164D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На основе КЭС должна строиться основная образовательная программа и проводиться выбор учебника. Контролируемые элементы содержания составляют базовую часть ООП, а их достижение всеми учащимися представляет собой государственную гарантию, за выполнение которой отвечает школа, получившая субсидию на реализ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ацию образовательной программы.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действительности существует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2 группы элементов содержания: </w:t>
      </w:r>
    </w:p>
    <w:p w:rsidR="009164D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знания и компетенции, которые учащийся предъявляет в качестве результата в ходе проме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жуточной и итоговой аттестации; </w:t>
      </w:r>
    </w:p>
    <w:p w:rsidR="009164D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элементы содержания, необходимые для дальнейшего обучения, без которых невозможно освоить другие темы и предмет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ы, но не подлежащие аттестации.</w:t>
      </w:r>
    </w:p>
    <w:p w:rsidR="00156334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Например, понятие суммы применяется не только в курсе математики в 1-м классе, а используется на протяжении всего периода обучения. Представление о системах требуется в курсе алгебры для решения уравнений, в обществознании для знакомства с системами государственного управления, в биологии для изучения строения живых организмов и экосистем. 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Только на основе анализа элементов содержания учитель может проектировать формы промежуточной аттестации и соответствующие формы занятий. 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 xml:space="preserve">В курсе физики для подготовки к аттестации по теории об основных видах энергии и решения </w:t>
      </w:r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задач</w:t>
      </w:r>
      <w:proofErr w:type="gram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возможно провести классический урок, а для освоения способов работы с конструктором электрических цепей потребуется провести практическую работу. При этом формой аттестации может стать зачет. </w:t>
      </w:r>
    </w:p>
    <w:p w:rsidR="009164D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Для того чтобы организовать аттестацию и создать </w:t>
      </w:r>
      <w:proofErr w:type="spell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КИМы</w:t>
      </w:r>
      <w:proofErr w:type="spell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 отражающие актуальные результаты учеников, учитель должен научиться проводить «декомпозиц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ию» содержания своего предмета. 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Только если учитель сможет провести такую декомпозицию своего курса, директор может быть уверен, что учитель знает предмет и способен провести по нему аттестацию.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 xml:space="preserve">Результаты освоения учебных предметов перечислены в содержании федерального компонента ФГОС. Но часть из них подлежит аттестации, их достижение оценивается, другие - необходимая база для дальнейшего обучения, но не оцениваются в 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ходе промежуточной аттестации. 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Такие примеры можно найти не только в </w:t>
      </w:r>
      <w:proofErr w:type="spell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, но и в </w:t>
      </w:r>
      <w:proofErr w:type="spell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результатах. Например, среди предметных результатов освоения химии на уровне основного общего образования есть проверяемые в ходе контрольных и практических работ, контрольного тестирования или устных опросов. Есть и другая группа - результаты, которые не подлежат аттестации, но без которых невозможно решить химические задачи и выполнить практические задания.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ПРИМЕР: Не подлежит отдельной аттестации знание важнейших химических понятий «химическая реакция» и «классификация веществ», но одна из первых контрольных работ требует изложения «смысла периодич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еского закона </w:t>
      </w:r>
      <w:proofErr w:type="spellStart"/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Д.И.Менделеева</w:t>
      </w:r>
      <w:proofErr w:type="spellEnd"/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». </w:t>
      </w:r>
    </w:p>
    <w:p w:rsidR="00156334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Не аттестуется умение «различать химические и физические явления», но контролируется умение «определять тип химических реакций» и «составлять 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уравнения химических реакций». 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Разработка форм и порядка проведения промежуточной аттестации - компетенция школы. Поэтому у школы есть право создавать контрольно-измерительные материалы, которые содержат задания для оценки всех результатов. Это требует другой системы критериев, которая дает возможность демонстрировать все группы результатов, включая результаты, необходимые для дальнейшего обучения. </w:t>
      </w:r>
    </w:p>
    <w:p w:rsidR="009164D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результаты включают освоение универсальных учебных действий (познавательных, регулятивных, коммуникативных) и </w:t>
      </w:r>
      <w:proofErr w:type="spell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межпредметных</w:t>
      </w:r>
      <w:proofErr w:type="spell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понятий (например, эксперимент, упражнение, ландшафт, вещество, атом, п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роизведение, словарь, пример).</w:t>
      </w:r>
      <w:proofErr w:type="gramEnd"/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  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Универсальные учебные действия развиваются в урочной и внеурочной деятельности и определяют умение ставить цели, планировать, контролировать свою деятельность, ориентироваться в разных источниках информации, проводить исследования, применять языковые средства и совместно решать новые 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задачи. 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Владение межпредметными понятиями тоже можно оценивать в ходе промежуточной аттестации. Для этого потребуются такие формы, как презентация проекта или представление учебного исследования.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</w:p>
    <w:p w:rsidR="009164D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Остановимся на порядке, формах и периодичности промежуточной аттестации, которые определяются внутренним Положением о промеж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уточной аттестации обучающихся. 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июне 2014 года в Москве был разработан проект Положения, который образовательные организации могут использовать в качестве основы для создания своих локальных актов. 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В проекте разработано содержание 16 форм промежуточной аттестации: 7 письменных, 5 устных, 2 практических и 2 комбинированных. 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 xml:space="preserve">Система оценки образовательных результатов для каждой формы рассчитана по 100-балльной шкале с возможностью перевода в 5-балльную для выставления в электронный журнал. Для присвоения баллов рабочая группа составила критерии оценки работ учащихся. </w:t>
      </w:r>
    </w:p>
    <w:p w:rsidR="009164D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Алгоритм создания школьного Положения о промежуточной аттеста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ции включает 7 основных этапов:</w:t>
      </w:r>
    </w:p>
    <w:p w:rsidR="009164D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1. В разделе «Общие положения» необходимо указать, кому адресовано Полож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ение, чьи отношения регулирует.</w:t>
      </w:r>
    </w:p>
    <w:p w:rsidR="009164D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2. Раздел «Нормативные основания» содержит цитаты и ссылки на федеральные и региональные нормативные документы, включая организацию внешнего мо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ниторинга качества образования.</w:t>
      </w:r>
    </w:p>
    <w:p w:rsidR="009164D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3. Третий раздел включает описание процесса разработки и утверждения Положения (управляющий совет, педагогический совет), указание масштабов - аттестация по ито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гам урока, темы, модуля, курса.</w:t>
      </w:r>
    </w:p>
    <w:p w:rsidR="009164D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4. Следующий раздел содержит описание форм и специфики, </w:t>
      </w:r>
      <w:proofErr w:type="spell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КИМов</w:t>
      </w:r>
      <w:proofErr w:type="spell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для каждого уровня образования, раскрывает возможности зачета результатов другими организациями, методов аттестации результатов одаренных детей и учащихся с огранич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енными возможностями здоровья. </w:t>
      </w:r>
    </w:p>
    <w:p w:rsidR="009164DE" w:rsidRDefault="000B5335" w:rsidP="00C55D7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5. В пятом разделе приводится описание мер в соответствии с 58-й статьей ФЗ №273 по организации условий для ликвидации академи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ческой задолженности учащихся. </w:t>
      </w:r>
    </w:p>
    <w:p w:rsidR="009164DE" w:rsidRDefault="000B5335" w:rsidP="009164D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6. В шестом разделе приводится классификация выбранных 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форм промежуточной аттестации. </w:t>
      </w:r>
    </w:p>
    <w:p w:rsidR="009164DE" w:rsidRDefault="000B5335" w:rsidP="009164D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7. Последний раздел содержит подробн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ую характеристику каждой формы:</w:t>
      </w:r>
    </w:p>
    <w:p w:rsidR="009164DE" w:rsidRDefault="000B5335" w:rsidP="009164D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а) рекомендуем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ые предметы;</w:t>
      </w:r>
    </w:p>
    <w:p w:rsidR="009164DE" w:rsidRDefault="009164DE" w:rsidP="009164D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б) форма проведения;</w:t>
      </w:r>
    </w:p>
    <w:p w:rsidR="009164DE" w:rsidRDefault="009164DE" w:rsidP="009164D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в) длительность проведения;</w:t>
      </w:r>
    </w:p>
    <w:p w:rsidR="009164DE" w:rsidRDefault="009164DE" w:rsidP="009164D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г) параметры оценки;</w:t>
      </w:r>
    </w:p>
    <w:p w:rsidR="009164DE" w:rsidRDefault="000B5335" w:rsidP="009164D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д) конт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рольно-измерительные материалы;</w:t>
      </w:r>
    </w:p>
    <w:p w:rsidR="009164DE" w:rsidRDefault="000B5335" w:rsidP="009164D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е) возможное оценивание тестирования в 100-балльной и 5-б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алльной шкале. (См. слайд 17.)</w:t>
      </w:r>
    </w:p>
    <w:p w:rsidR="009164DE" w:rsidRDefault="000B5335" w:rsidP="009164D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Для создания системы оценки, ориентированной на измерение конкретных результатов, целесообразно применять 100-балльную систему, имеющую шкалу перевода в систему отметок для переноса в электронный журнал. Этот принцип принят в качестве основы Положения. Например, результаты выполнения теста могут оцениваться по 100-балльной шкале, что позволяет учитывать достижения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 xml:space="preserve">учащихся, не привязывая их к </w:t>
      </w:r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привычной отметке</w:t>
      </w:r>
      <w:proofErr w:type="gram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 и вычислять % выполнения от максимального количества баллов. Контрольно-измерительные материалы могут включать части A, B и C, за выполнение которых присваивается разное количество баллов. Часть A может включать задания для оценки базовых (необходимых для дальнейшего обучения</w:t>
      </w:r>
      <w:proofErr w:type="gramStart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результатов, а B и C - результатов изучения одного 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предметного модуля (его части). 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этом случае можно сравнивать текущие результаты учащегося с его результатами за предыдущие периоды обучения, то есть создавать мотивирующую систему промежуточной аттестации.</w:t>
      </w: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Учащийся должен получить возможность знакомиться с разными системами оценки своих результатов и владеть информацией о том, с чем именно он справился, а чему нужно научиться, чтоб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ы получить максимальный балл. </w:t>
      </w:r>
    </w:p>
    <w:p w:rsidR="009164DE" w:rsidRDefault="000B5335" w:rsidP="009164D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На основе фундаментальных понятий и контролируемых элементов содержания строится система итоговой аттестации, которая показывает эффективность работы школы по реализации образовательной программы. Такой результат школы можно увидеть в результатах учащихся на госуда</w:t>
      </w:r>
      <w:r w:rsidR="009164DE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рственной итоговой аттестации.  </w:t>
      </w:r>
    </w:p>
    <w:p w:rsidR="000B5335" w:rsidRPr="009164DE" w:rsidRDefault="000B5335" w:rsidP="009164DE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0B533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Не случайно промежуточной аттестации уделено особое внимание в федеральных нормативных документах. Если школа выбирает формы промежуточной аттестации с учетом элементов содержания образования, формирует гибкую систему оценивания, а педагог учитывает на уроке все КЭС, подлежащие аттестации, то школа сможет создать необходимые условия для обучения, а значит, гарантирует результаты по </w:t>
      </w:r>
      <w:r w:rsidR="0015633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ФГОС ООО.</w:t>
      </w:r>
    </w:p>
    <w:p w:rsidR="00601602" w:rsidRDefault="009164DE" w:rsidP="00C55D7E">
      <w:pPr>
        <w:spacing w:after="0" w:line="240" w:lineRule="auto"/>
        <w:ind w:firstLine="709"/>
      </w:pPr>
    </w:p>
    <w:sectPr w:rsidR="0060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634B"/>
    <w:multiLevelType w:val="hybridMultilevel"/>
    <w:tmpl w:val="1D2EBB9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C9E1D95"/>
    <w:multiLevelType w:val="multilevel"/>
    <w:tmpl w:val="0F9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115B7"/>
    <w:multiLevelType w:val="hybridMultilevel"/>
    <w:tmpl w:val="7CBC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35"/>
    <w:rsid w:val="000B5335"/>
    <w:rsid w:val="00156334"/>
    <w:rsid w:val="00191F19"/>
    <w:rsid w:val="00790C32"/>
    <w:rsid w:val="009164DE"/>
    <w:rsid w:val="00C22560"/>
    <w:rsid w:val="00C55D7E"/>
    <w:rsid w:val="00CA136B"/>
    <w:rsid w:val="00F4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5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087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501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82447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0149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553615">
          <w:marLeft w:val="0"/>
          <w:marRight w:val="0"/>
          <w:marTop w:val="72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BDB6-82D0-4112-B9C7-C529796B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2016-12-09T17:47:00Z</dcterms:created>
  <dcterms:modified xsi:type="dcterms:W3CDTF">2016-12-12T18:23:00Z</dcterms:modified>
</cp:coreProperties>
</file>